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color w:val="12324F"/>
          <w:sz w:val="36"/>
          <w:szCs w:val="36"/>
        </w:rPr>
        <w:t xml:space="preserve">План работы отдела кадров</w:t>
      </w:r>
    </w:p>
    <w:p>
      <w:pPr>
        <w:spacing w:after="120"/>
      </w:pPr>
      <w:r>
        <w:rPr>
          <w:i w:val="false"/>
          <w:iCs w:val="false"/>
          <w:color w:val="000000"/>
          <w:sz w:val="22"/>
          <w:szCs w:val="22"/>
        </w:rPr>
        <w:t xml:space="preserve">Организация: ________________________   Год: 20___</w:t>
      </w:r>
    </w:p>
    <w:p>
      <w:pPr>
        <w:spacing w:after="120"/>
      </w:pPr>
      <w:r>
        <w:rPr>
          <w:i/>
          <w:iCs/>
          <w:color w:val="595959"/>
          <w:sz w:val="18"/>
          <w:szCs w:val="18"/>
        </w:rPr>
        <w:t xml:space="preserve">Единый шаблон azbuha.ru: месячный, квартальный и годовой план в одном файле. Столбцы «Срок», «Ответственный» и «Отметка» заполняются под свою организацию. Жёсткие сроки продиктованы ТК РФ и отчётностью в СФР и не переносятся.</w:t>
      </w:r>
    </w:p>
    <w:p>
      <w:pPr>
        <w:spacing w:after="140" w:before="200"/>
      </w:pPr>
      <w:r>
        <w:rPr>
          <w:b/>
          <w:bCs/>
          <w:color w:val="12324F"/>
          <w:sz w:val="30"/>
          <w:szCs w:val="30"/>
        </w:rPr>
        <w:t xml:space="preserve">1. План на месяц</w:t>
      </w:r>
    </w:p>
    <w:p>
      <w:pPr>
        <w:spacing w:after="120"/>
      </w:pPr>
      <w:r>
        <w:rPr>
          <w:i w:val="false"/>
          <w:iCs w:val="false"/>
          <w:color w:val="1F4E79"/>
          <w:sz w:val="18"/>
          <w:szCs w:val="18"/>
        </w:rPr>
        <w:t xml:space="preserve">Операционка с дедлайном внутри месяца. Сведения в СФР при приёме и увольнении подаются не позднее следующего рабочего дня.</w:t>
      </w:r>
    </w:p>
    <w:tbl>
      <w:tblPr>
        <w:tblW w:type="dxa" w:w="124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3200"/>
        <w:gridCol w:w="3400"/>
        <w:gridCol w:w="1800"/>
        <w:gridCol w:w="2100"/>
        <w:gridCol w:w="1400"/>
      </w:tblGrid>
      <w:tr>
        <w:trPr>
          <w:tblHeader/>
        </w:trPr>
        <w:tc>
          <w:tcPr>
            <w:tcW w:type="dxa" w:w="0"/>
            <w:shd w:fill="12324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№</w:t>
            </w:r>
          </w:p>
        </w:tc>
        <w:tc>
          <w:tcPr>
            <w:tcW w:type="dxa" w:w="0"/>
            <w:shd w:fill="12324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Задача</w:t>
            </w:r>
          </w:p>
        </w:tc>
        <w:tc>
          <w:tcPr>
            <w:tcW w:type="dxa" w:w="0"/>
            <w:shd w:fill="12324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Нормативное основание</w:t>
            </w:r>
          </w:p>
        </w:tc>
        <w:tc>
          <w:tcPr>
            <w:tcW w:type="dxa" w:w="0"/>
            <w:shd w:fill="12324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Срок</w:t>
            </w:r>
          </w:p>
        </w:tc>
        <w:tc>
          <w:tcPr>
            <w:tcW w:type="dxa" w:w="0"/>
            <w:shd w:fill="12324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Ответственный</w:t>
            </w:r>
          </w:p>
        </w:tc>
        <w:tc>
          <w:tcPr>
            <w:tcW w:type="dxa" w:w="0"/>
            <w:shd w:fill="12324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Отметка</w:t>
            </w:r>
          </w:p>
        </w:tc>
      </w:tr>
      <w:tr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Сверка и закрытие табеля (Т-12 / Т-13) за предыдущий период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ст. 91 ТК РФ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Начало месяца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Кадровик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Передача данных о рабочем времени расчётчику зарплаты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ст. 136 ТК РФ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Начало месяца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Выдача расчётных листков сотрудникам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ст. 136 ТК РФ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День выплаты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Кадровик/бухгалтер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Оформление приёмов: ТД, приказ, ознакомление с ЛНА, карточка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ст. 66.1, 68 ТК РФ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По факту приёма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Кадровик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Сведения в СФР при приёме (ЕФС-1, подр. 1.1)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ФЗ-27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След. рабочий день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Кадровик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Оформление увольнений: приказ, расчёт, выдача документов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ст. 84.1, 140 ТК РФ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По факту увольнения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Кадровик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Сведения в СФР при увольнении (ЕФС-1, подр. 1.1)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ФЗ-27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След. рабочий день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Кадровик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Подраздел 1.1 ЕФС-1 по прочим событиям (перевод и т.п.)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ФЗ-27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До 25 числа след. месяца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Кадровик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Уведомление о начале отпуска под подпись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ст. 123 ТК РФ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За 2 недели до отпуска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Кадровик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Воинский учёт, сведения в военкомат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ФЗ-53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При приёме/увольнении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Отв. за ВУ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Отчётность в центр занятости («Работа в России»)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ФЗ-565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По периодичности региона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Кадровик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spacing w:after="140" w:before="200"/>
      </w:pPr>
      <w:r>
        <w:rPr>
          <w:b/>
          <w:bCs/>
          <w:color w:val="12324F"/>
          <w:sz w:val="30"/>
          <w:szCs w:val="30"/>
        </w:rPr>
        <w:t xml:space="preserve">2. План на квартал</w:t>
      </w:r>
    </w:p>
    <w:p>
      <w:pPr>
        <w:spacing w:after="120"/>
      </w:pPr>
      <w:r>
        <w:rPr>
          <w:i w:val="false"/>
          <w:iCs w:val="false"/>
          <w:color w:val="1F4E79"/>
          <w:sz w:val="18"/>
          <w:szCs w:val="18"/>
        </w:rPr>
        <w:t xml:space="preserve">Задачи с длинной подготовкой и HR-проекты. Готовятся заранее, а не в дедлайн.</w:t>
      </w:r>
    </w:p>
    <w:tbl>
      <w:tblPr>
        <w:tblW w:type="dxa" w:w="12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600"/>
        <w:gridCol w:w="4200"/>
        <w:gridCol w:w="1800"/>
      </w:tblGrid>
      <w:tr>
        <w:trPr>
          <w:tblHeader/>
        </w:trPr>
        <w:tc>
          <w:tcPr>
            <w:tcW w:type="dxa" w:w="0"/>
            <w:shd w:fill="12324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№</w:t>
            </w:r>
          </w:p>
        </w:tc>
        <w:tc>
          <w:tcPr>
            <w:tcW w:type="dxa" w:w="0"/>
            <w:shd w:fill="12324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Мероприятие</w:t>
            </w:r>
          </w:p>
        </w:tc>
        <w:tc>
          <w:tcPr>
            <w:tcW w:type="dxa" w:w="0"/>
            <w:shd w:fill="12324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Основание</w:t>
            </w:r>
          </w:p>
        </w:tc>
        <w:tc>
          <w:tcPr>
            <w:tcW w:type="dxa" w:w="0"/>
            <w:shd w:fill="12324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Срок / отметка</w:t>
            </w:r>
          </w:p>
        </w:tc>
      </w:tr>
      <w:tr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Подготовка и утверждение графика отпусков (Т-7)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ст. 123 ТК РФ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до 17 декабря</w:t>
            </w:r>
          </w:p>
        </w:tc>
      </w:tr>
      <w:tr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Плановая СОУТ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ФЗ-426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раз в 5 лет</w:t>
            </w:r>
          </w:p>
        </w:tc>
      </w:tr>
      <w:tr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Подраздел 1.2 ЕФС-1 (страховой стаж)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ФЗ-27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до 25 января</w:t>
            </w:r>
          </w:p>
        </w:tc>
      </w:tr>
      <w:tr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Раздел 2 ЕФС-1 (взносы на травматизм)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ФЗ-125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ежеквартально</w:t>
            </w:r>
          </w:p>
        </w:tc>
      </w:tr>
      <w:tr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Аудит кадровой документации перед ГИТ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ТК РФ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Актуализация штатного расписания и должностных инструкций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ст. 57 ТК РФ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Продление ознакомления с обновлёнными ЛНА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ст. 22 ТК РФ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HR-проект квартала (грейды / адаптация / автоматизация)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внутр. регламент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spacing w:after="140" w:before="200"/>
      </w:pPr>
      <w:r>
        <w:rPr>
          <w:b/>
          <w:bCs/>
          <w:color w:val="12324F"/>
          <w:sz w:val="30"/>
          <w:szCs w:val="30"/>
        </w:rPr>
        <w:t xml:space="preserve">3. План на год</w:t>
      </w:r>
    </w:p>
    <w:p>
      <w:pPr>
        <w:spacing w:after="120"/>
      </w:pPr>
      <w:r>
        <w:rPr>
          <w:i w:val="false"/>
          <w:iCs w:val="false"/>
          <w:color w:val="1F4E79"/>
          <w:sz w:val="18"/>
          <w:szCs w:val="18"/>
        </w:rPr>
        <w:t xml:space="preserve">Годовой горизонт с разбивкой по кварталам и месяцам. Ежемесячная рутина повторяется каждый месяц.</w:t>
      </w:r>
    </w:p>
    <w:tbl>
      <w:tblPr>
        <w:tblW w:type="dxa" w:w="12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500"/>
        <w:gridCol w:w="6600"/>
        <w:gridCol w:w="3300"/>
      </w:tblGrid>
      <w:tr>
        <w:trPr>
          <w:tblHeader/>
        </w:trPr>
        <w:tc>
          <w:tcPr>
            <w:tcW w:type="dxa" w:w="0"/>
            <w:shd w:fill="12324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Квартал</w:t>
            </w:r>
          </w:p>
        </w:tc>
        <w:tc>
          <w:tcPr>
            <w:tcW w:type="dxa" w:w="0"/>
            <w:shd w:fill="12324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Месяц</w:t>
            </w:r>
          </w:p>
        </w:tc>
        <w:tc>
          <w:tcPr>
            <w:tcW w:type="dxa" w:w="0"/>
            <w:shd w:fill="12324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Плановые мероприятия</w:t>
            </w:r>
          </w:p>
        </w:tc>
        <w:tc>
          <w:tcPr>
            <w:tcW w:type="dxa" w:w="0"/>
            <w:shd w:fill="12324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Жёсткий дедлайн</w:t>
            </w:r>
          </w:p>
        </w:tc>
      </w:tr>
      <w:tr>
        <w:tc>
          <w:tcPr>
            <w:tcW w:type="dxa" w:w="0"/>
          </w:tcPr>
          <w:p>
            <w:r>
              <w:rPr>
                <w:b/>
                <w:bCs/>
                <w:sz w:val="20"/>
                <w:szCs w:val="20"/>
              </w:rPr>
              <w:t xml:space="preserve">I кв.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Январь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Подраздел 1.2 ЕФС-1 (страховой стаж) за прошлый год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до 25 января</w:t>
            </w:r>
          </w:p>
        </w:tc>
      </w:tr>
      <w:tr>
        <w:tc>
          <w:tcPr>
            <w:tcW w:type="dxa" w:w="0"/>
          </w:tcPr>
          <w:p>
            <w:r>
              <w:rPr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Февраль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Ежемесячная рутина: табель, расчётные листки, СФР, отпуска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0"/>
          </w:tcPr>
          <w:p>
            <w:r>
              <w:rPr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Март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Раздел 2 ЕФС-1 за I квартал; ежемесячная рутина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до 25 апреля</w:t>
            </w:r>
          </w:p>
        </w:tc>
      </w:tr>
      <w:tr>
        <w:tc>
          <w:tcPr>
            <w:tcW w:type="dxa" w:w="0"/>
          </w:tcPr>
          <w:p>
            <w:r>
              <w:rPr>
                <w:b/>
                <w:bCs/>
                <w:sz w:val="20"/>
                <w:szCs w:val="20"/>
              </w:rPr>
              <w:t xml:space="preserve">II кв.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Апрель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Аудит кадровой документации; ежемесячная рутина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0"/>
          </w:tcPr>
          <w:p>
            <w:r>
              <w:rPr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Май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Актуализация штатного расписания и ДИ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0"/>
          </w:tcPr>
          <w:p>
            <w:r>
              <w:rPr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Июнь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Раздел 2 ЕФС-1 за полугодие; ежемесячная рутина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до 25 июля</w:t>
            </w:r>
          </w:p>
        </w:tc>
      </w:tr>
      <w:tr>
        <w:tc>
          <w:tcPr>
            <w:tcW w:type="dxa" w:w="0"/>
          </w:tcPr>
          <w:p>
            <w:r>
              <w:rPr>
                <w:b/>
                <w:bCs/>
                <w:sz w:val="20"/>
                <w:szCs w:val="20"/>
              </w:rPr>
              <w:t xml:space="preserve">III кв.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Июль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Плановая СОУТ при сроке; ежемесячная рутина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0"/>
          </w:tcPr>
          <w:p>
            <w:r>
              <w:rPr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Август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Ознакомление с обновлёнными ЛНА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0"/>
          </w:tcPr>
          <w:p>
            <w:r>
              <w:rPr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Сентябрь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Раздел 2 ЕФС-1 за 9 месяцев; ежемесячная рутина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до 25 октября</w:t>
            </w:r>
          </w:p>
        </w:tc>
      </w:tr>
      <w:tr>
        <w:tc>
          <w:tcPr>
            <w:tcW w:type="dxa" w:w="0"/>
          </w:tcPr>
          <w:p>
            <w:r>
              <w:rPr>
                <w:b/>
                <w:bCs/>
                <w:sz w:val="20"/>
                <w:szCs w:val="20"/>
              </w:rPr>
              <w:t xml:space="preserve">IV кв.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Октябрь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Старт сбора пожеланий по отпускам; веха HR-проекта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0"/>
          </w:tcPr>
          <w:p>
            <w:r>
              <w:rPr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Ноябрь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Сведение проекта графика; сверка страхового стажа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0"/>
          </w:tcPr>
          <w:p>
            <w:r>
              <w:rPr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Декабрь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Утверждение графика отпусков (Т-7); уведомления на январь</w:t>
            </w:r>
          </w:p>
        </w:tc>
        <w:tc>
          <w:tcPr>
            <w:tcW w:type="dxa" w:w="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до 17 декабря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2026-07-31T07:38:14.699Z</dcterms:created>
  <dcterms:modified xsi:type="dcterms:W3CDTF">2026-07-31T07:38:14.714Z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