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пользоваться шаблоном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Синим цветом отмечены поля, которые заполняет работодатель. Серым курсивом — пояснения, их из готового документа удаляйте. Формулировки, отмеченные как варианты, выбираются под конкретную ситуацию.</w:t>
      </w:r>
    </w:p>
    <w:p>
      <w:pPr>
        <w:pBdr>
          <w:bottom w:val="single" w:color="BBBBBB" w:sz="6"/>
        </w:pBdr>
        <w:spacing w:after="240"/>
      </w:pP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CC"/>
          <w:sz w:val="24"/>
          <w:szCs w:val="24"/>
        </w:rPr>
        <w:t xml:space="preserve">ООО «___________________»</w:t>
      </w: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ПРИКАЗ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«__» ________ 2026 г.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                                                       № ____</w:t>
      </w: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4"/>
          <w:szCs w:val="24"/>
        </w:rPr>
        <w:t xml:space="preserve">о распределении обязанностей между работниками отдела кадров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В целях разграничения зон ответственности за кадровые процессы, исключения дублирования функций и обеспечения непрерывности кадрового делопроизводства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4"/>
          <w:szCs w:val="24"/>
        </w:rPr>
        <w:t xml:space="preserve">ПРИКАЗЫВАЮ: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Закрепить кадровые процессы за работниками отдела кадров согласно таблице: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100"/>
        <w:gridCol w:w="3300"/>
        <w:gridCol w:w="2400"/>
      </w:tblGrid>
      <w:tr>
        <w:trPr>
          <w:tblHeader/>
        </w:trPr>
        <w:tc>
          <w:tcPr>
            <w:tcW w:type="dxa" w:w="7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№</w:t>
            </w:r>
          </w:p>
        </w:tc>
        <w:tc>
          <w:tcPr>
            <w:tcW w:type="dxa" w:w="31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Кадровый процесс</w:t>
            </w:r>
          </w:p>
        </w:tc>
        <w:tc>
          <w:tcPr>
            <w:tcW w:type="dxa" w:w="33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Ответственный работник, должность</w:t>
            </w:r>
          </w:p>
        </w:tc>
        <w:tc>
          <w:tcPr>
            <w:tcW w:type="dxa" w:w="24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Замещающий</w:t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Приём, перевод, увольнение: оформление документов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Ведение трудовых книжек и сведений о трудовой деятельности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3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Учёт рабочего времени, табель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4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График отпусков, оформление отпусков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5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Воинский учёт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6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Обработка и защита персональных данных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7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Подбор персонала, работа с кандидатами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8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Ведение КЭДО, работа с электронными подписями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9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Отчётность: ЕФС-1, статистика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10</w:t>
            </w:r>
          </w:p>
        </w:tc>
        <w:tc>
          <w:tcPr>
            <w:tcW w:type="dxa" w:w="3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Хранение и архивирование кадровых документов</w:t>
            </w:r>
          </w:p>
        </w:tc>
        <w:tc>
          <w:tcPr>
            <w:tcW w:type="dxa" w:w="33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Перечень процессов дополните под свою структуру. Каждый процесс должен иметь ровно одного ответственного: два владельца одного процесса означают, что при проверке ответственного не найдётся ни одного.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Установить, что на период отсутствия ответственного работника (отпуск, временная нетрудоспособность, командировка) его обязанности исполняет замещающий работник, указанный в графе 4 таблицы, без издания отдельного приказа.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Возложить на ______________________ контроль за соблюдением сроков оформления кадровых документов и полнотой ведения кадрового учёта.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Определить, что настоящий приказ не изменяет условия трудовых договоров работников и распределяет обязанности в пределах трудовых функций, установленных должностными инструкциями. Возложение обязанностей, выходящих за пределы должностной инструкции, оформляется дополнительным соглашением к трудовому договору.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Ознакомить работников отдела кадров с настоящим приказом под подпись в течение 3 рабочих дней со дня его издания.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Контроль за исполнением приказа оставляю за собой.</w:t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Основание: должностные инструкции работников отдела кадров, Положение об отделе кадров.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4900"/>
      </w:tblGrid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Генеральный директор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4"/>
          <w:szCs w:val="24"/>
        </w:rPr>
        <w:t xml:space="preserve">С приказом ознакомлены: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200"/>
        <w:gridCol w:w="1600"/>
        <w:gridCol w:w="1500"/>
      </w:tblGrid>
      <w:tr>
        <w:trPr>
          <w:tblHeader/>
        </w:trPr>
        <w:tc>
          <w:tcPr>
            <w:tcW w:type="dxa" w:w="32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Должность</w:t>
            </w:r>
          </w:p>
        </w:tc>
        <w:tc>
          <w:tcPr>
            <w:tcW w:type="dxa" w:w="32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Фамилия, инициалы</w:t>
            </w:r>
          </w:p>
        </w:tc>
        <w:tc>
          <w:tcPr>
            <w:tcW w:type="dxa" w:w="16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Подпись</w:t>
            </w:r>
          </w:p>
        </w:tc>
        <w:tc>
          <w:tcPr>
            <w:tcW w:type="dxa" w:w="15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Дата</w:t>
            </w:r>
          </w:p>
        </w:tc>
      </w:tr>
      <w:tr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2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pBdr>
          <w:top w:val="single" w:color="BBBBBB" w:sz="6"/>
        </w:pBdr>
        <w:spacing w:after="120"/>
      </w:pP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Чем этот приказ отличается от должностной инструкции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Должностная инструкция описывает трудовую функцию должности и действует бессрочно. Приказ о распределении обязанностей закрепляет конкретные процессы за конкретными людьми в текущей структуре и переиздаётся при кадровых изменениях. Инструкция отвечает на вопрос «что входит в работу этой должности», приказ — «кто именно ведёт этот процесс сейчас».</w:t>
      </w: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Где чаще ошибаются</w:t>
      </w:r>
    </w:p>
    <w:p>
      <w:pPr>
        <w:pStyle w:val="ListParagraph"/>
        <w:numPr>
          <w:ilvl w:val="0"/>
          <w:numId w:val="3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Возлагают приказом обязанности, которых нет в должностной инструкции, без допсоглашения и без доплаты. Это основание для спора и для предписания ГИТ.</w:t>
      </w:r>
    </w:p>
    <w:p>
      <w:pPr>
        <w:pStyle w:val="ListParagraph"/>
        <w:numPr>
          <w:ilvl w:val="0"/>
          <w:numId w:val="3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Не заполняют графу «Замещающий» — на период отпуска процесс остаётся без владельца.</w:t>
      </w:r>
    </w:p>
    <w:p>
      <w:pPr>
        <w:pStyle w:val="ListParagraph"/>
        <w:numPr>
          <w:ilvl w:val="0"/>
          <w:numId w:val="3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Оставляют процесс без ответственного вообще. Чаще всего так выпадают воинский учёт и защита персональных данных.</w:t>
      </w:r>
    </w:p>
    <w:p>
      <w:pPr>
        <w:spacing w:after="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18"/>
          <w:szCs w:val="18"/>
        </w:rPr>
        <w:t xml:space="preserve">Шаблон подготовлен редакцией Азбуха.</w:t>
      </w:r>
    </w:p>
    <w:sectPr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700" w:hanging="260"/>
      </w:pPr>
      <w:rPr>
        <w:rFonts w:ascii="Times New Roman" w:cs="Times New Roman" w:eastAsia="Times New Roman" w:hAnsi="Times New Roman"/>
        <w:sz w:val="24"/>
        <w:szCs w:val="24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00" w:hanging="360"/>
      </w:pPr>
      <w:rPr>
        <w:rFonts w:ascii="Times New Roman" w:cs="Times New Roman" w:eastAsia="Times New Roman" w:hAnsi="Times New Roman"/>
        <w:sz w:val="24"/>
        <w:szCs w:val="24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2026-08-10T14:53:47.054Z</dcterms:created>
  <dcterms:modified xsi:type="dcterms:W3CDTF">2026-08-10T14:53:47.054Z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