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sz w:val="22"/>
          <w:szCs w:val="22"/>
        </w:rPr>
        <w:t xml:space="preserve">УТВЕРЖДАЮ</w:t>
      </w:r>
    </w:p>
    <w:p>
      <w:pPr>
        <w:jc w:val="right"/>
      </w:pPr>
      <w:r>
        <w:rPr>
          <w:sz w:val="22"/>
          <w:szCs w:val="22"/>
        </w:rPr>
        <w:t xml:space="preserve">Генеральный директор ______________ / ____________ /</w:t>
      </w:r>
    </w:p>
    <w:p>
      <w:pPr>
        <w:spacing w:after="240"/>
        <w:jc w:val="right"/>
      </w:pPr>
      <w:r>
        <w:rPr>
          <w:sz w:val="22"/>
          <w:szCs w:val="22"/>
        </w:rPr>
        <w:t xml:space="preserve">«____» _______________ 20____ г.</w:t>
      </w:r>
    </w:p>
    <w:p>
      <w:pPr>
        <w:spacing w:after="220"/>
        <w:jc w:val="center"/>
      </w:pPr>
      <w:r>
        <w:rPr>
          <w:b/>
          <w:bCs/>
          <w:sz w:val="32"/>
          <w:szCs w:val="32"/>
        </w:rPr>
        <w:t xml:space="preserve">HR-СТРАТЕГИЯ ОРГАНИЗАЦИИ НА 2026 ГОД</w:t>
      </w:r>
    </w:p>
    <w:p>
      <w:pPr>
        <w:spacing w:after="100"/>
      </w:pPr>
      <w:r>
        <w:rPr>
          <w:sz w:val="22"/>
          <w:szCs w:val="22"/>
        </w:rPr>
        <w:t xml:space="preserve">Организация: ________________________________________________</w:t>
      </w:r>
    </w:p>
    <w:p>
      <w:pPr>
        <w:spacing w:after="100"/>
      </w:pPr>
      <w:r>
        <w:rPr>
          <w:sz w:val="22"/>
          <w:szCs w:val="22"/>
        </w:rPr>
        <w:t xml:space="preserve">Период действия: с «____» ___________ 2026 г. по «____» ___________ 20____ г.</w:t>
      </w:r>
    </w:p>
    <w:p>
      <w:pPr>
        <w:spacing w:after="100"/>
      </w:pPr>
      <w:r>
        <w:rPr>
          <w:sz w:val="22"/>
          <w:szCs w:val="22"/>
        </w:rPr>
        <w:t xml:space="preserve">Ответственный за реализацию: ________________________________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1. Бизнес-контекст</w:t>
      </w:r>
    </w:p>
    <w:p>
      <w:pPr>
        <w:spacing w:after="100"/>
      </w:pPr>
      <w:r>
        <w:rPr>
          <w:sz w:val="22"/>
          <w:szCs w:val="22"/>
        </w:rPr>
        <w:t xml:space="preserve">Кратко опишите цели бизнеса на период и то, как они влияют на потребность в персонале: планы по выручке, запуск направлений, открытие точек, изменения в структуре.</w:t>
      </w:r>
    </w:p>
    <w:p>
      <w:pPr>
        <w:spacing w:after="100"/>
      </w:pPr>
      <w:r>
        <w:rPr>
          <w:sz w:val="22"/>
          <w:szCs w:val="22"/>
        </w:rPr>
        <w:t xml:space="preserve">Численность на начало периода: ______ чел.  ·  Плановая численность на конец периода: ______ чел.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2. Текущее состояние HR-функции</w:t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400"/>
        <w:gridCol w:w="2400"/>
      </w:tblGrid>
      <w:tr>
        <w:tc>
          <w:tcPr>
            <w:tcW w:type="dxa" w:w="32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Показатель</w:t>
            </w:r>
          </w:p>
        </w:tc>
        <w:tc>
          <w:tcPr>
            <w:tcW w:type="dxa" w:w="24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Факт</w:t>
            </w:r>
          </w:p>
        </w:tc>
        <w:tc>
          <w:tcPr>
            <w:tcW w:type="dxa" w:w="24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Цель на период</w:t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Текучесть персонала за год, %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Текучесть на испытательном сроке, %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Средний срок закрытия вакансии, раб. дн.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Стоимость закрытия вакансии, руб.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Доля закрытых вакансий в срок, %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Индекс вовлечённости (eNPS)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Доля сотрудников с ИПР, %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3. Приоритеты на период</w:t>
      </w:r>
    </w:p>
    <w:p>
      <w:pPr>
        <w:spacing w:after="100"/>
      </w:pPr>
      <w:r>
        <w:rPr>
          <w:sz w:val="22"/>
          <w:szCs w:val="22"/>
        </w:rPr>
        <w:t xml:space="preserve">Выберите не более трёх приоритетов - распылять ресурс на все направления сразу не получится.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Приоритет 1: ____________________________________________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Приоритет 2: ____________________________________________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Приоритет 3: ____________________________________________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4. Направления работы</w:t>
      </w:r>
    </w:p>
    <w:p>
      <w:pPr>
        <w:pStyle w:val="Heading2"/>
        <w:spacing w:after="100" w:before="200"/>
      </w:pPr>
      <w:r>
        <w:rPr>
          <w:b/>
          <w:bCs/>
          <w:sz w:val="24"/>
          <w:szCs w:val="24"/>
        </w:rPr>
        <w:t xml:space="preserve">4.1. Подбор персонала</w:t>
      </w:r>
    </w:p>
    <w:p>
      <w:pPr>
        <w:spacing w:after="100"/>
      </w:pPr>
      <w:r>
        <w:rPr>
          <w:sz w:val="22"/>
          <w:szCs w:val="22"/>
        </w:rPr>
        <w:t xml:space="preserve">Планируемое количество вакансий: ______. Каналы подбора: ______________________. Инструменты: ATS, job-борды, реферальная программа. Ответственный: ____________.</w:t>
      </w:r>
    </w:p>
    <w:p>
      <w:pPr>
        <w:pStyle w:val="Heading2"/>
        <w:spacing w:after="100" w:before="200"/>
      </w:pPr>
      <w:r>
        <w:rPr>
          <w:b/>
          <w:bCs/>
          <w:sz w:val="24"/>
          <w:szCs w:val="24"/>
        </w:rPr>
        <w:t xml:space="preserve">4.2. Адаптация</w:t>
      </w:r>
    </w:p>
    <w:p>
      <w:pPr>
        <w:spacing w:after="100"/>
      </w:pPr>
      <w:r>
        <w:rPr>
          <w:sz w:val="22"/>
          <w:szCs w:val="22"/>
        </w:rPr>
        <w:t xml:space="preserve">Формат онбординга, чек-лист первых дней, институт наставничества, точки контроля на 1-й неделе, 1-м и 3-м месяце. Ответственный: ____________.</w:t>
      </w:r>
    </w:p>
    <w:p>
      <w:pPr>
        <w:pStyle w:val="Heading2"/>
        <w:spacing w:after="100" w:before="200"/>
      </w:pPr>
      <w:r>
        <w:rPr>
          <w:b/>
          <w:bCs/>
          <w:sz w:val="24"/>
          <w:szCs w:val="24"/>
        </w:rPr>
        <w:t xml:space="preserve">4.3. Обучение и развитие</w:t>
      </w:r>
    </w:p>
    <w:p>
      <w:pPr>
        <w:spacing w:after="100"/>
      </w:pPr>
      <w:r>
        <w:rPr>
          <w:sz w:val="22"/>
          <w:szCs w:val="22"/>
        </w:rPr>
        <w:t xml:space="preserve">Бюджет на обучение: ______ руб. Обязательные программы, индивидуальные планы развития, кадровый резерв. Ответственный: ____________.</w:t>
      </w:r>
    </w:p>
    <w:p>
      <w:pPr>
        <w:pStyle w:val="Heading2"/>
        <w:spacing w:after="100" w:before="200"/>
      </w:pPr>
      <w:r>
        <w:rPr>
          <w:b/>
          <w:bCs/>
          <w:sz w:val="24"/>
          <w:szCs w:val="24"/>
        </w:rPr>
        <w:t xml:space="preserve">4.4. Оценка персонала</w:t>
      </w:r>
    </w:p>
    <w:p>
      <w:pPr>
        <w:spacing w:after="100"/>
      </w:pPr>
      <w:r>
        <w:rPr>
          <w:sz w:val="22"/>
          <w:szCs w:val="22"/>
        </w:rPr>
        <w:t xml:space="preserve">Периодичность performance review, применение оценки 360 градусов, карта компетенций, связь результатов оценки с пересмотром оплаты труда.</w:t>
      </w:r>
    </w:p>
    <w:p>
      <w:pPr>
        <w:pStyle w:val="Heading2"/>
        <w:spacing w:after="100" w:before="200"/>
      </w:pPr>
      <w:r>
        <w:rPr>
          <w:b/>
          <w:bCs/>
          <w:sz w:val="24"/>
          <w:szCs w:val="24"/>
        </w:rPr>
        <w:t xml:space="preserve">4.5. Мотивация и компенсации</w:t>
      </w:r>
    </w:p>
    <w:p>
      <w:pPr>
        <w:spacing w:after="100"/>
      </w:pPr>
      <w:r>
        <w:rPr>
          <w:sz w:val="22"/>
          <w:szCs w:val="22"/>
        </w:rPr>
        <w:t xml:space="preserve">Система оплаты труда, грейды, премии по KPI, нематериальная мотивация, льготы. Ответственный: ____________.</w:t>
      </w:r>
    </w:p>
    <w:p>
      <w:pPr>
        <w:pStyle w:val="Heading2"/>
        <w:spacing w:after="100" w:before="200"/>
      </w:pPr>
      <w:r>
        <w:rPr>
          <w:b/>
          <w:bCs/>
          <w:sz w:val="24"/>
          <w:szCs w:val="24"/>
        </w:rPr>
        <w:t xml:space="preserve">4.6. Кадровое администрирование и КЭДО</w:t>
      </w:r>
    </w:p>
    <w:p>
      <w:pPr>
        <w:spacing w:after="100"/>
      </w:pPr>
      <w:r>
        <w:rPr>
          <w:sz w:val="22"/>
          <w:szCs w:val="22"/>
        </w:rPr>
        <w:t xml:space="preserve">Приведение документов в соответствие с ТК РФ, переход на кадровый электронный документооборот по ст. 22.1-22.3 ТК РФ, выбор вида электронной подписи, сроки внедрения.</w:t>
      </w:r>
    </w:p>
    <w:p>
      <w:pPr>
        <w:pStyle w:val="Heading2"/>
        <w:spacing w:after="100" w:before="200"/>
      </w:pPr>
      <w:r>
        <w:rPr>
          <w:b/>
          <w:bCs/>
          <w:sz w:val="24"/>
          <w:szCs w:val="24"/>
        </w:rPr>
        <w:t xml:space="preserve">4.7. HR-бренд и внутренние коммуникации</w:t>
      </w:r>
    </w:p>
    <w:p>
      <w:pPr>
        <w:spacing w:after="100"/>
      </w:pPr>
      <w:r>
        <w:rPr>
          <w:sz w:val="22"/>
          <w:szCs w:val="22"/>
        </w:rPr>
        <w:t xml:space="preserve">Каналы коммуникации с сотрудниками, работа с отзывами о работодателе, участие в профильных мероприятиях.</w:t>
      </w:r>
    </w:p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5. План мероприятий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800"/>
        <w:gridCol w:w="1600"/>
        <w:gridCol w:w="1600"/>
      </w:tblGrid>
      <w:tr>
        <w:tc>
          <w:tcPr>
            <w:tcW w:type="dxa" w:w="34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Мероприятие</w:t>
            </w:r>
          </w:p>
        </w:tc>
        <w:tc>
          <w:tcPr>
            <w:tcW w:type="dxa" w:w="18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Срок</w:t>
            </w:r>
          </w:p>
        </w:tc>
        <w:tc>
          <w:tcPr>
            <w:tcW w:type="dxa" w:w="16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Ответственный</w:t>
            </w:r>
          </w:p>
        </w:tc>
        <w:tc>
          <w:tcPr>
            <w:tcW w:type="dxa" w:w="16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Бюджет, руб.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6. Бюджет HR-функции на период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2000"/>
        <w:gridCol w:w="2000"/>
      </w:tblGrid>
      <w:tr>
        <w:tc>
          <w:tcPr>
            <w:tcW w:type="dxa" w:w="44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Статья затрат</w:t>
            </w:r>
          </w:p>
        </w:tc>
        <w:tc>
          <w:tcPr>
            <w:tcW w:type="dxa" w:w="20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План, руб.</w:t>
            </w:r>
          </w:p>
        </w:tc>
        <w:tc>
          <w:tcPr>
            <w:tcW w:type="dxa" w:w="2000"/>
            <w:shd w:fill="F6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Факт, руб.</w:t>
            </w:r>
          </w:p>
        </w:tc>
      </w:tr>
      <w:tr>
        <w:tc>
          <w:tcPr>
            <w:tcW w:type="dxa" w:w="4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Подбор персонала (job-борды, агентства)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Обучение и развитие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HR-сервисы и автоматизация (ATS, КЭДО, LMS)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Мотивация и корпоративные мероприятия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Фонд оплаты труда HR-службы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Итого</w:t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260"/>
      </w:pPr>
      <w:r>
        <w:rPr>
          <w:b/>
          <w:bCs/>
          <w:sz w:val="26"/>
          <w:szCs w:val="26"/>
        </w:rPr>
        <w:t xml:space="preserve">7. Контроль реализации</w:t>
      </w:r>
    </w:p>
    <w:p>
      <w:pPr>
        <w:spacing w:after="100"/>
      </w:pPr>
      <w:r>
        <w:rPr>
          <w:sz w:val="22"/>
          <w:szCs w:val="22"/>
        </w:rPr>
        <w:t xml:space="preserve">Отчёт о выполнении стратегии предоставляется руководителю организации ежеквартально. Пересмотр показателей - не реже одного раза в год либо при существенном изменении бизнес-целей.</w:t>
      </w:r>
    </w:p>
    <w:p>
      <w:pPr>
        <w:spacing w:before="300"/>
      </w:pPr>
      <w:r>
        <w:rPr>
          <w:sz w:val="22"/>
          <w:szCs w:val="22"/>
        </w:rPr>
        <w:t xml:space="preserve">С документом ознакомлен(а), один экземпляр получил(а) на руки:</w:t>
      </w:r>
    </w:p>
    <w:p>
      <w:pPr>
        <w:spacing w:after="100"/>
      </w:pPr>
      <w:r>
        <w:rPr>
          <w:sz w:val="22"/>
          <w:szCs w:val="22"/>
        </w:rPr>
        <w:t xml:space="preserve">_________________________ / _________________________ /   «____» ____________ 20____ г.</w:t>
      </w:r>
    </w:p>
    <w:p>
      <w:pPr>
        <w:spacing w:before="200"/>
      </w:pPr>
      <w:r>
        <w:rPr>
          <w:i/>
          <w:iCs/>
          <w:color w:val="5A5A5A"/>
          <w:sz w:val="18"/>
          <w:szCs w:val="18"/>
        </w:rPr>
        <w:t xml:space="preserve">Документ подготовлен сервисом Азбуха. Шаблон носит рекомендательный характер, перед применением адаптируйте под структуру и локальные акты вашей организации.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2026-08-17T02:01:13.267Z</dcterms:created>
  <dcterms:modified xsi:type="dcterms:W3CDTF">2026-08-17T02:01:13.267Z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